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579A" w14:textId="0AD8D4A7" w:rsidR="00E56463" w:rsidRPr="005C2100" w:rsidRDefault="00772F71" w:rsidP="00996ABA">
      <w:pPr>
        <w:jc w:val="center"/>
        <w:rPr>
          <w:rFonts w:cs="Arial"/>
          <w:b/>
          <w:bCs/>
        </w:rPr>
      </w:pPr>
      <w:r w:rsidRPr="005C2100">
        <w:rPr>
          <w:rFonts w:cs="Arial"/>
          <w:noProof/>
        </w:rPr>
        <w:drawing>
          <wp:inline distT="0" distB="0" distL="0" distR="0" wp14:anchorId="4F75DBBD" wp14:editId="777BC636">
            <wp:extent cx="1568174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09" cy="161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46B44" w14:textId="77777777" w:rsidR="00E56463" w:rsidRPr="005C2100" w:rsidRDefault="00E56463" w:rsidP="00A31570">
      <w:pPr>
        <w:rPr>
          <w:rFonts w:cs="Arial"/>
          <w:b/>
          <w:bCs/>
        </w:rPr>
      </w:pPr>
    </w:p>
    <w:p w14:paraId="29CD88B1" w14:textId="77777777" w:rsidR="00C8179E" w:rsidRPr="005C2100" w:rsidRDefault="00C8179E" w:rsidP="00B869D3">
      <w:pPr>
        <w:jc w:val="center"/>
        <w:rPr>
          <w:rFonts w:cs="Arial"/>
          <w:b/>
          <w:bCs/>
          <w:color w:val="BC0C1B"/>
          <w:sz w:val="28"/>
          <w:szCs w:val="28"/>
        </w:rPr>
      </w:pPr>
      <w:r w:rsidRPr="005C2100">
        <w:rPr>
          <w:rFonts w:cs="Arial"/>
          <w:b/>
          <w:bCs/>
          <w:color w:val="BC0C1B"/>
          <w:sz w:val="28"/>
          <w:szCs w:val="28"/>
        </w:rPr>
        <w:t xml:space="preserve">IIJ </w:t>
      </w:r>
      <w:r w:rsidR="00B869D3" w:rsidRPr="005C2100">
        <w:rPr>
          <w:rFonts w:cs="Arial"/>
          <w:b/>
          <w:bCs/>
          <w:color w:val="BC0C1B"/>
          <w:sz w:val="28"/>
          <w:szCs w:val="28"/>
        </w:rPr>
        <w:t>VACANCY</w:t>
      </w:r>
    </w:p>
    <w:p w14:paraId="6817AFC2" w14:textId="7EF9C42B" w:rsidR="00B869D3" w:rsidRPr="00A137B9" w:rsidRDefault="00B869D3" w:rsidP="00B869D3">
      <w:pPr>
        <w:jc w:val="center"/>
        <w:rPr>
          <w:rFonts w:cs="Arial"/>
          <w:b/>
          <w:bCs/>
          <w:color w:val="BC0C1B"/>
          <w:sz w:val="32"/>
          <w:szCs w:val="32"/>
        </w:rPr>
      </w:pPr>
      <w:r w:rsidRPr="00A137B9">
        <w:rPr>
          <w:rFonts w:cs="Arial"/>
          <w:b/>
          <w:bCs/>
          <w:color w:val="BC0C1B"/>
          <w:sz w:val="32"/>
          <w:szCs w:val="32"/>
        </w:rPr>
        <w:t>PROGRAMME ASSISTANT</w:t>
      </w:r>
    </w:p>
    <w:p w14:paraId="6ED3A3D6" w14:textId="77777777" w:rsidR="004A5C94" w:rsidRPr="00A137B9" w:rsidRDefault="004A5C94" w:rsidP="00A31570">
      <w:pPr>
        <w:rPr>
          <w:rFonts w:cs="Arial"/>
          <w:b/>
          <w:bCs/>
          <w:sz w:val="28"/>
          <w:szCs w:val="28"/>
        </w:rPr>
      </w:pPr>
    </w:p>
    <w:p w14:paraId="35A19072" w14:textId="77777777" w:rsidR="000B689B" w:rsidRPr="005C2100" w:rsidRDefault="000B689B" w:rsidP="00A31570">
      <w:pPr>
        <w:rPr>
          <w:rFonts w:cs="Arial"/>
          <w:b/>
          <w:bCs/>
          <w:color w:val="FF0000"/>
          <w:sz w:val="32"/>
          <w:szCs w:val="32"/>
        </w:rPr>
      </w:pPr>
    </w:p>
    <w:p w14:paraId="0705164F" w14:textId="77777777" w:rsidR="00B869D3" w:rsidRPr="00975098" w:rsidRDefault="00B869D3" w:rsidP="00B869D3">
      <w:pPr>
        <w:rPr>
          <w:rFonts w:cs="Arial"/>
          <w:bCs/>
          <w:color w:val="BC0C1B"/>
          <w:sz w:val="28"/>
          <w:szCs w:val="28"/>
        </w:rPr>
      </w:pPr>
      <w:r w:rsidRPr="00975098">
        <w:rPr>
          <w:rFonts w:cs="Arial"/>
          <w:bCs/>
          <w:color w:val="BC0C1B"/>
          <w:sz w:val="28"/>
          <w:szCs w:val="28"/>
        </w:rPr>
        <w:t>ABOUT THE IIJ</w:t>
      </w:r>
    </w:p>
    <w:p w14:paraId="2CB126CC" w14:textId="77777777" w:rsidR="00B869D3" w:rsidRPr="00C8179E" w:rsidRDefault="00B869D3" w:rsidP="00B869D3">
      <w:pPr>
        <w:spacing w:before="12" w:line="220" w:lineRule="exact"/>
      </w:pPr>
    </w:p>
    <w:p w14:paraId="5040031C" w14:textId="02269942" w:rsidR="008A189A" w:rsidRDefault="008A189A" w:rsidP="008A189A">
      <w:pPr>
        <w:spacing w:line="256" w:lineRule="auto"/>
        <w:jc w:val="both"/>
        <w:rPr>
          <w:rFonts w:eastAsiaTheme="minorEastAsia" w:cs="Arial"/>
          <w:iCs/>
          <w:color w:val="000000"/>
        </w:rPr>
      </w:pPr>
      <w:r w:rsidRPr="008A189A">
        <w:rPr>
          <w:rFonts w:eastAsiaTheme="minorEastAsia" w:cs="Arial"/>
          <w:iCs/>
          <w:color w:val="000000"/>
        </w:rPr>
        <w:t xml:space="preserve">The International Institute for Justice and the Rule of Law (IIJ) </w:t>
      </w:r>
      <w:proofErr w:type="gramStart"/>
      <w:r w:rsidRPr="008A189A">
        <w:rPr>
          <w:rFonts w:eastAsiaTheme="minorEastAsia" w:cs="Arial"/>
          <w:iCs/>
          <w:color w:val="000000"/>
        </w:rPr>
        <w:t>is located in</w:t>
      </w:r>
      <w:proofErr w:type="gramEnd"/>
      <w:r w:rsidRPr="008A189A">
        <w:rPr>
          <w:rFonts w:eastAsiaTheme="minorEastAsia" w:cs="Arial"/>
          <w:iCs/>
          <w:color w:val="000000"/>
        </w:rPr>
        <w:t xml:space="preserve"> Malta with a mission to deliver innovative and sustainable capacity-building through the implementation of counter-terrorism-related, rule of law-based good practices developed by the Global Counterterrorism Forum (GCTF) and other international and regional fora.</w:t>
      </w:r>
    </w:p>
    <w:p w14:paraId="1DD22FAD" w14:textId="77777777" w:rsidR="008A189A" w:rsidRPr="008A189A" w:rsidRDefault="008A189A" w:rsidP="008A189A">
      <w:pPr>
        <w:spacing w:line="256" w:lineRule="auto"/>
        <w:jc w:val="both"/>
        <w:rPr>
          <w:rFonts w:eastAsiaTheme="minorEastAsia" w:cs="Arial"/>
          <w:iCs/>
          <w:color w:val="000000"/>
        </w:rPr>
      </w:pPr>
    </w:p>
    <w:p w14:paraId="42C434B2" w14:textId="1C0AAF4C" w:rsidR="008A189A" w:rsidRDefault="008A189A" w:rsidP="008A189A">
      <w:pPr>
        <w:spacing w:line="256" w:lineRule="auto"/>
        <w:jc w:val="both"/>
        <w:rPr>
          <w:rStyle w:val="Hyperlink"/>
          <w:rFonts w:ascii="Arial" w:hAnsi="Arial" w:cs="Arial"/>
          <w:lang w:val="en-GB"/>
        </w:rPr>
      </w:pPr>
      <w:r w:rsidRPr="008A189A">
        <w:rPr>
          <w:rFonts w:eastAsiaTheme="minorEastAsia" w:cs="Arial"/>
          <w:iCs/>
          <w:color w:val="000000"/>
        </w:rPr>
        <w:t xml:space="preserve">Since its inauguration in 2014, the IIJ has trained more than 7000 criminal justice practitioners through its interactive capacity-building workshops – in Malta and abroad – that enhance the competencies of parliamentarians, judges, prosecutors, police, </w:t>
      </w:r>
      <w:proofErr w:type="gramStart"/>
      <w:r w:rsidRPr="008A189A">
        <w:rPr>
          <w:rFonts w:eastAsiaTheme="minorEastAsia" w:cs="Arial"/>
          <w:iCs/>
          <w:color w:val="000000"/>
        </w:rPr>
        <w:t>prison</w:t>
      </w:r>
      <w:proofErr w:type="gramEnd"/>
      <w:r w:rsidRPr="008A189A">
        <w:rPr>
          <w:rFonts w:eastAsiaTheme="minorEastAsia" w:cs="Arial"/>
          <w:iCs/>
          <w:color w:val="000000"/>
        </w:rPr>
        <w:t xml:space="preserve"> and other criminal justice practitioners to address terrorism and related transnational criminal activities within a rule of law framework. The IIJ delivers capacity-building training tailored to the needs of the regions it serves, including North, West and East Africa; the Middle East; and select engagement in the Balkans, and Central, South and Southeast Asia. For more information on the IIJ, please visit the IIJ’s website</w:t>
      </w:r>
      <w:r w:rsidRPr="002D2098">
        <w:rPr>
          <w:rFonts w:ascii="Arial" w:hAnsi="Arial" w:cs="Arial"/>
          <w:lang w:val="en-GB"/>
        </w:rPr>
        <w:t xml:space="preserve"> </w:t>
      </w:r>
      <w:hyperlink r:id="rId9" w:history="1">
        <w:r w:rsidRPr="008A189A">
          <w:rPr>
            <w:rStyle w:val="Hyperlink"/>
            <w:rFonts w:cstheme="minorHAnsi"/>
            <w:lang w:val="en-GB"/>
          </w:rPr>
          <w:t>www.theiij.org</w:t>
        </w:r>
      </w:hyperlink>
    </w:p>
    <w:p w14:paraId="60F3C056" w14:textId="77777777" w:rsidR="008A189A" w:rsidRPr="003A7109" w:rsidRDefault="008A189A" w:rsidP="008A189A">
      <w:pPr>
        <w:spacing w:line="256" w:lineRule="auto"/>
        <w:jc w:val="both"/>
        <w:rPr>
          <w:rFonts w:ascii="Arial" w:hAnsi="Arial" w:cs="Arial"/>
          <w:lang w:val="en-GB"/>
        </w:rPr>
      </w:pPr>
    </w:p>
    <w:p w14:paraId="4909D607" w14:textId="0A5EF540" w:rsidR="00A31570" w:rsidRPr="005C2100" w:rsidRDefault="000B689B" w:rsidP="00226851">
      <w:pPr>
        <w:tabs>
          <w:tab w:val="left" w:pos="6390"/>
        </w:tabs>
        <w:jc w:val="both"/>
        <w:rPr>
          <w:rFonts w:cs="Arial"/>
          <w:color w:val="BC0C1B"/>
          <w:sz w:val="28"/>
          <w:szCs w:val="28"/>
        </w:rPr>
      </w:pPr>
      <w:r w:rsidRPr="005C2100">
        <w:rPr>
          <w:rFonts w:cs="Arial"/>
          <w:bCs/>
          <w:color w:val="BC0C1B"/>
          <w:sz w:val="28"/>
          <w:szCs w:val="28"/>
        </w:rPr>
        <w:t>POSITION</w:t>
      </w:r>
    </w:p>
    <w:p w14:paraId="1964A5CF" w14:textId="77777777" w:rsidR="0035264D" w:rsidRPr="005C2100" w:rsidRDefault="0035264D" w:rsidP="00226851">
      <w:pPr>
        <w:jc w:val="both"/>
        <w:rPr>
          <w:rFonts w:cs="Arial"/>
        </w:rPr>
      </w:pPr>
    </w:p>
    <w:p w14:paraId="7E0BA6A9" w14:textId="4989A8C2" w:rsidR="006F4C48" w:rsidRDefault="00D3615E" w:rsidP="00226851">
      <w:pPr>
        <w:jc w:val="both"/>
        <w:rPr>
          <w:rFonts w:cs="Arial"/>
        </w:rPr>
      </w:pPr>
      <w:r w:rsidRPr="005C2100">
        <w:rPr>
          <w:rFonts w:eastAsiaTheme="minorEastAsia" w:cs="Arial"/>
          <w:iCs/>
          <w:color w:val="000000"/>
        </w:rPr>
        <w:t xml:space="preserve">Under the overall guidance of the </w:t>
      </w:r>
      <w:r w:rsidR="00E1663A" w:rsidRPr="005C2100">
        <w:rPr>
          <w:rFonts w:eastAsiaTheme="minorEastAsia" w:cs="Arial"/>
          <w:iCs/>
          <w:color w:val="000000"/>
        </w:rPr>
        <w:t xml:space="preserve">IIJ </w:t>
      </w:r>
      <w:r w:rsidR="00BD08A8" w:rsidRPr="005C2100">
        <w:rPr>
          <w:rFonts w:eastAsiaTheme="minorEastAsia" w:cs="Arial"/>
          <w:iCs/>
          <w:color w:val="000000"/>
        </w:rPr>
        <w:t>Executive Secretary</w:t>
      </w:r>
      <w:r w:rsidR="00C8179E" w:rsidRPr="005C2100">
        <w:rPr>
          <w:rFonts w:eastAsiaTheme="minorEastAsia" w:cs="Arial"/>
          <w:iCs/>
          <w:color w:val="000000"/>
        </w:rPr>
        <w:t>,</w:t>
      </w:r>
      <w:r w:rsidR="00BD08A8" w:rsidRPr="005C2100">
        <w:rPr>
          <w:rFonts w:eastAsiaTheme="minorEastAsia" w:cs="Arial"/>
          <w:iCs/>
          <w:color w:val="000000"/>
        </w:rPr>
        <w:t xml:space="preserve"> and the direct supervision of the </w:t>
      </w:r>
      <w:r w:rsidR="00A817CA" w:rsidRPr="005C2100">
        <w:rPr>
          <w:rFonts w:eastAsiaTheme="minorEastAsia" w:cs="Arial"/>
          <w:iCs/>
          <w:color w:val="000000"/>
        </w:rPr>
        <w:t>Director of the</w:t>
      </w:r>
      <w:r w:rsidR="00EB63F9">
        <w:rPr>
          <w:rFonts w:eastAsiaTheme="minorEastAsia" w:cs="Arial"/>
          <w:iCs/>
          <w:color w:val="000000"/>
        </w:rPr>
        <w:t xml:space="preserve"> Administration and Outreach</w:t>
      </w:r>
      <w:r w:rsidRPr="005C2100">
        <w:rPr>
          <w:rFonts w:eastAsiaTheme="minorEastAsia" w:cs="Arial"/>
          <w:iCs/>
          <w:color w:val="000000"/>
        </w:rPr>
        <w:t xml:space="preserve">, the </w:t>
      </w:r>
      <w:r w:rsidR="00BD08A8" w:rsidRPr="005C2100">
        <w:rPr>
          <w:rFonts w:eastAsiaTheme="minorEastAsia" w:cs="Arial"/>
          <w:iCs/>
          <w:color w:val="000000"/>
        </w:rPr>
        <w:t xml:space="preserve">Programme </w:t>
      </w:r>
      <w:r w:rsidRPr="005C2100">
        <w:rPr>
          <w:rFonts w:eastAsiaTheme="minorEastAsia" w:cs="Arial"/>
          <w:iCs/>
          <w:color w:val="000000"/>
        </w:rPr>
        <w:t xml:space="preserve">Assistant will be an integral part of a dynamic and multi-national team. </w:t>
      </w:r>
      <w:r w:rsidR="009A2287" w:rsidRPr="005C2100">
        <w:rPr>
          <w:rFonts w:cs="Arial"/>
        </w:rPr>
        <w:t xml:space="preserve">The IIJ is a highly collaborative environment, and </w:t>
      </w:r>
      <w:r w:rsidR="00621949" w:rsidRPr="005C2100">
        <w:rPr>
          <w:rFonts w:cs="Arial"/>
        </w:rPr>
        <w:t xml:space="preserve">the </w:t>
      </w:r>
      <w:r w:rsidR="00BD08A8" w:rsidRPr="005C2100">
        <w:rPr>
          <w:rFonts w:cs="Arial"/>
        </w:rPr>
        <w:t xml:space="preserve">Programme </w:t>
      </w:r>
      <w:r w:rsidR="009A2287" w:rsidRPr="005C2100">
        <w:rPr>
          <w:rFonts w:cs="Arial"/>
        </w:rPr>
        <w:t>Assistant will work</w:t>
      </w:r>
      <w:r w:rsidR="00EB63F9">
        <w:rPr>
          <w:rFonts w:cs="Arial"/>
        </w:rPr>
        <w:t xml:space="preserve"> </w:t>
      </w:r>
      <w:r w:rsidR="006B4928" w:rsidRPr="005C2100">
        <w:rPr>
          <w:rFonts w:cs="Arial"/>
        </w:rPr>
        <w:t xml:space="preserve">in close </w:t>
      </w:r>
      <w:r w:rsidR="007E59D5" w:rsidRPr="005C2100">
        <w:rPr>
          <w:rFonts w:cs="Arial"/>
        </w:rPr>
        <w:t>collaboration</w:t>
      </w:r>
      <w:r w:rsidR="009A2287" w:rsidRPr="005C2100">
        <w:rPr>
          <w:rFonts w:cs="Arial"/>
        </w:rPr>
        <w:t xml:space="preserve"> with the IIJ’s dedicated </w:t>
      </w:r>
      <w:r w:rsidR="00E54FFD" w:rsidRPr="005C2100">
        <w:rPr>
          <w:rFonts w:cs="Arial"/>
        </w:rPr>
        <w:t>Administrative Unit</w:t>
      </w:r>
      <w:r w:rsidR="00C8179E" w:rsidRPr="005C2100">
        <w:rPr>
          <w:rFonts w:cs="Arial"/>
        </w:rPr>
        <w:t>,</w:t>
      </w:r>
      <w:r w:rsidR="00E54FFD" w:rsidRPr="005C2100">
        <w:rPr>
          <w:rFonts w:cs="Arial"/>
        </w:rPr>
        <w:t xml:space="preserve"> </w:t>
      </w:r>
      <w:r w:rsidR="009A2287" w:rsidRPr="005C2100">
        <w:rPr>
          <w:rFonts w:cs="Arial"/>
        </w:rPr>
        <w:t xml:space="preserve">on </w:t>
      </w:r>
      <w:r w:rsidR="007E59D5" w:rsidRPr="005C2100">
        <w:rPr>
          <w:rFonts w:cs="Arial"/>
        </w:rPr>
        <w:t xml:space="preserve">the </w:t>
      </w:r>
      <w:r w:rsidR="009A2287" w:rsidRPr="005C2100">
        <w:rPr>
          <w:rFonts w:cs="Arial"/>
        </w:rPr>
        <w:t xml:space="preserve">preparatory and delivery phases of </w:t>
      </w:r>
      <w:r w:rsidR="00EB63F9">
        <w:rPr>
          <w:rFonts w:cs="Arial"/>
        </w:rPr>
        <w:t xml:space="preserve">IIJ </w:t>
      </w:r>
      <w:r w:rsidR="009A2287" w:rsidRPr="005C2100">
        <w:rPr>
          <w:rFonts w:cs="Arial"/>
        </w:rPr>
        <w:t>course</w:t>
      </w:r>
      <w:r w:rsidR="00EB63F9">
        <w:rPr>
          <w:rFonts w:cs="Arial"/>
        </w:rPr>
        <w:t xml:space="preserve">s and </w:t>
      </w:r>
      <w:proofErr w:type="spellStart"/>
      <w:r w:rsidR="00A137B9">
        <w:rPr>
          <w:rFonts w:cs="Arial"/>
        </w:rPr>
        <w:t>programmes</w:t>
      </w:r>
      <w:proofErr w:type="spellEnd"/>
      <w:r w:rsidR="00EB63F9">
        <w:rPr>
          <w:rFonts w:cs="Arial"/>
        </w:rPr>
        <w:t xml:space="preserve">. </w:t>
      </w:r>
      <w:r w:rsidR="009A2287" w:rsidRPr="005C2100">
        <w:rPr>
          <w:rFonts w:cs="Arial"/>
        </w:rPr>
        <w:t xml:space="preserve"> </w:t>
      </w:r>
    </w:p>
    <w:p w14:paraId="536BB199" w14:textId="658922CE" w:rsidR="00EB63F9" w:rsidRDefault="00EB63F9" w:rsidP="00226851">
      <w:pPr>
        <w:jc w:val="both"/>
        <w:rPr>
          <w:rFonts w:cs="Arial"/>
        </w:rPr>
      </w:pPr>
    </w:p>
    <w:p w14:paraId="39C659DC" w14:textId="4F182F78" w:rsidR="00D3615E" w:rsidRPr="00975098" w:rsidRDefault="00D3615E" w:rsidP="00226851">
      <w:pPr>
        <w:tabs>
          <w:tab w:val="left" w:pos="6390"/>
        </w:tabs>
        <w:jc w:val="both"/>
        <w:rPr>
          <w:rFonts w:cs="Arial"/>
          <w:bCs/>
          <w:color w:val="BC0C1B"/>
          <w:sz w:val="28"/>
          <w:szCs w:val="28"/>
        </w:rPr>
      </w:pPr>
      <w:r w:rsidRPr="00975098">
        <w:rPr>
          <w:rFonts w:cs="Arial"/>
          <w:bCs/>
          <w:color w:val="BC0C1B"/>
          <w:sz w:val="28"/>
          <w:szCs w:val="28"/>
        </w:rPr>
        <w:t xml:space="preserve">Duties and </w:t>
      </w:r>
      <w:r w:rsidR="00C8179E" w:rsidRPr="00975098">
        <w:rPr>
          <w:rFonts w:cs="Arial"/>
          <w:bCs/>
          <w:color w:val="BC0C1B"/>
          <w:sz w:val="28"/>
          <w:szCs w:val="28"/>
        </w:rPr>
        <w:t>R</w:t>
      </w:r>
      <w:r w:rsidRPr="00975098">
        <w:rPr>
          <w:rFonts w:cs="Arial"/>
          <w:bCs/>
          <w:color w:val="BC0C1B"/>
          <w:sz w:val="28"/>
          <w:szCs w:val="28"/>
        </w:rPr>
        <w:t xml:space="preserve">esponsibilities     </w:t>
      </w:r>
    </w:p>
    <w:p w14:paraId="231E3E27" w14:textId="5A433575" w:rsidR="006B4928" w:rsidRPr="00975098" w:rsidRDefault="006B4928" w:rsidP="00226851">
      <w:pPr>
        <w:jc w:val="both"/>
        <w:rPr>
          <w:rFonts w:cs="Arial"/>
        </w:rPr>
      </w:pPr>
    </w:p>
    <w:p w14:paraId="0B4D0D5F" w14:textId="5EC15A52" w:rsidR="0005404F" w:rsidRPr="0005404F" w:rsidRDefault="0005404F" w:rsidP="00226851">
      <w:pPr>
        <w:tabs>
          <w:tab w:val="left" w:pos="6390"/>
        </w:tabs>
        <w:jc w:val="both"/>
        <w:rPr>
          <w:rFonts w:cs="Arial"/>
          <w:bCs/>
          <w:i/>
          <w:iCs/>
          <w:color w:val="BC0C1B"/>
        </w:rPr>
      </w:pPr>
      <w:bookmarkStart w:id="0" w:name="_Hlk72400241"/>
      <w:r w:rsidRPr="0005404F">
        <w:rPr>
          <w:rFonts w:cs="Arial"/>
          <w:bCs/>
          <w:i/>
          <w:iCs/>
          <w:color w:val="BC0C1B"/>
        </w:rPr>
        <w:t xml:space="preserve">Programme Management and Administrative Support to the </w:t>
      </w:r>
      <w:r w:rsidR="00EB63F9">
        <w:rPr>
          <w:rFonts w:cs="Arial"/>
          <w:bCs/>
          <w:i/>
          <w:iCs/>
          <w:color w:val="BC0C1B"/>
        </w:rPr>
        <w:t>Programmatic Unit:</w:t>
      </w:r>
    </w:p>
    <w:p w14:paraId="26069D00" w14:textId="77777777" w:rsidR="0005404F" w:rsidRPr="006618EA" w:rsidRDefault="0005404F" w:rsidP="00226851">
      <w:pPr>
        <w:jc w:val="both"/>
        <w:rPr>
          <w:rFonts w:ascii="Times New Roman" w:hAnsi="Times New Roman" w:cs="Times New Roman"/>
        </w:rPr>
      </w:pPr>
    </w:p>
    <w:p w14:paraId="66C1D846" w14:textId="77777777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 xml:space="preserve">Support the implementation of the various </w:t>
      </w:r>
      <w:proofErr w:type="spellStart"/>
      <w:r w:rsidRPr="0005404F">
        <w:rPr>
          <w:rFonts w:cstheme="minorHAnsi"/>
        </w:rPr>
        <w:t>programme</w:t>
      </w:r>
      <w:proofErr w:type="spellEnd"/>
      <w:r w:rsidRPr="0005404F">
        <w:rPr>
          <w:rFonts w:cstheme="minorHAnsi"/>
        </w:rPr>
        <w:t xml:space="preserve"> activities within the scope of the IIJ’s mission.</w:t>
      </w:r>
    </w:p>
    <w:p w14:paraId="3592D603" w14:textId="411C06C0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lastRenderedPageBreak/>
        <w:t xml:space="preserve">Provide the necessary assistance to support the </w:t>
      </w:r>
      <w:proofErr w:type="spellStart"/>
      <w:r w:rsidRPr="0005404F">
        <w:rPr>
          <w:rFonts w:cstheme="minorHAnsi"/>
        </w:rPr>
        <w:t>organisation</w:t>
      </w:r>
      <w:proofErr w:type="spellEnd"/>
      <w:r w:rsidRPr="0005404F">
        <w:rPr>
          <w:rFonts w:cstheme="minorHAnsi"/>
        </w:rPr>
        <w:t xml:space="preserve">, logistics and implementation of course curricula and other capacity-building activities. </w:t>
      </w:r>
    </w:p>
    <w:p w14:paraId="5D291019" w14:textId="754DD9FE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 xml:space="preserve">Provide administrative support to the </w:t>
      </w:r>
      <w:r w:rsidR="00EB63F9">
        <w:rPr>
          <w:rFonts w:cstheme="minorHAnsi"/>
        </w:rPr>
        <w:t>Programmatic</w:t>
      </w:r>
      <w:r w:rsidRPr="0005404F">
        <w:rPr>
          <w:rFonts w:cstheme="minorHAnsi"/>
        </w:rPr>
        <w:t xml:space="preserve"> Unit in the </w:t>
      </w:r>
      <w:proofErr w:type="spellStart"/>
      <w:r w:rsidRPr="0005404F">
        <w:rPr>
          <w:rFonts w:cstheme="minorHAnsi"/>
        </w:rPr>
        <w:t>organisation</w:t>
      </w:r>
      <w:proofErr w:type="spellEnd"/>
      <w:r w:rsidRPr="0005404F">
        <w:rPr>
          <w:rFonts w:cstheme="minorHAnsi"/>
        </w:rPr>
        <w:t xml:space="preserve"> of events, </w:t>
      </w:r>
      <w:proofErr w:type="gramStart"/>
      <w:r w:rsidRPr="0005404F">
        <w:rPr>
          <w:rFonts w:cstheme="minorHAnsi"/>
        </w:rPr>
        <w:t>meetings</w:t>
      </w:r>
      <w:proofErr w:type="gramEnd"/>
      <w:r w:rsidRPr="0005404F">
        <w:rPr>
          <w:rFonts w:cstheme="minorHAnsi"/>
        </w:rPr>
        <w:t xml:space="preserve"> and workshops, etc.</w:t>
      </w:r>
    </w:p>
    <w:p w14:paraId="0B5B7536" w14:textId="77777777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 xml:space="preserve">Prepare travel plans and </w:t>
      </w:r>
      <w:proofErr w:type="spellStart"/>
      <w:r w:rsidRPr="0005404F">
        <w:rPr>
          <w:rFonts w:cstheme="minorHAnsi"/>
        </w:rPr>
        <w:t>organise</w:t>
      </w:r>
      <w:proofErr w:type="spellEnd"/>
      <w:r w:rsidRPr="0005404F">
        <w:rPr>
          <w:rFonts w:cstheme="minorHAnsi"/>
        </w:rPr>
        <w:t xml:space="preserve"> travel dates for participants to IIJ events, and for IIJ staff as required. Prepare travel requests to be sent to the travel agents to issue air tickets. </w:t>
      </w:r>
    </w:p>
    <w:p w14:paraId="4EAC6232" w14:textId="26765C55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 xml:space="preserve">Provide </w:t>
      </w:r>
      <w:proofErr w:type="spellStart"/>
      <w:r w:rsidRPr="0005404F">
        <w:rPr>
          <w:rFonts w:cstheme="minorHAnsi"/>
        </w:rPr>
        <w:t>programme</w:t>
      </w:r>
      <w:proofErr w:type="spellEnd"/>
      <w:r w:rsidRPr="0005404F">
        <w:rPr>
          <w:rFonts w:cstheme="minorHAnsi"/>
        </w:rPr>
        <w:t xml:space="preserve"> and administrative support to</w:t>
      </w:r>
      <w:r w:rsidR="00EB63F9">
        <w:rPr>
          <w:rFonts w:cstheme="minorHAnsi"/>
        </w:rPr>
        <w:t xml:space="preserve"> the IIJ</w:t>
      </w:r>
      <w:r w:rsidRPr="0005404F">
        <w:rPr>
          <w:rFonts w:cstheme="minorHAnsi"/>
        </w:rPr>
        <w:t xml:space="preserve"> in the preparation of various </w:t>
      </w:r>
      <w:proofErr w:type="spellStart"/>
      <w:r w:rsidRPr="0005404F">
        <w:rPr>
          <w:rFonts w:cstheme="minorHAnsi"/>
        </w:rPr>
        <w:t>programme</w:t>
      </w:r>
      <w:proofErr w:type="spellEnd"/>
      <w:r w:rsidRPr="0005404F">
        <w:rPr>
          <w:rFonts w:cstheme="minorHAnsi"/>
        </w:rPr>
        <w:t xml:space="preserve"> documents, such as work plans, budgets, </w:t>
      </w:r>
      <w:proofErr w:type="gramStart"/>
      <w:r w:rsidRPr="0005404F">
        <w:rPr>
          <w:rFonts w:cstheme="minorHAnsi"/>
        </w:rPr>
        <w:t>reports</w:t>
      </w:r>
      <w:proofErr w:type="gramEnd"/>
      <w:r w:rsidRPr="0005404F">
        <w:rPr>
          <w:rFonts w:cstheme="minorHAnsi"/>
        </w:rPr>
        <w:t xml:space="preserve"> and proposals on </w:t>
      </w:r>
      <w:proofErr w:type="spellStart"/>
      <w:r w:rsidRPr="0005404F">
        <w:rPr>
          <w:rFonts w:cstheme="minorHAnsi"/>
        </w:rPr>
        <w:t>programme</w:t>
      </w:r>
      <w:proofErr w:type="spellEnd"/>
      <w:r w:rsidRPr="0005404F">
        <w:rPr>
          <w:rFonts w:cstheme="minorHAnsi"/>
        </w:rPr>
        <w:t xml:space="preserve"> implementation arrangements.</w:t>
      </w:r>
    </w:p>
    <w:p w14:paraId="4640003D" w14:textId="7DA9A1C8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 xml:space="preserve">Under the guidance of the Director, assemble briefing materials and prepare PowerPoint and other presentations for the </w:t>
      </w:r>
      <w:r w:rsidR="00EB63F9">
        <w:rPr>
          <w:rFonts w:cstheme="minorHAnsi"/>
        </w:rPr>
        <w:t>Programmatic</w:t>
      </w:r>
      <w:r w:rsidRPr="0005404F">
        <w:rPr>
          <w:rFonts w:cstheme="minorHAnsi"/>
        </w:rPr>
        <w:t xml:space="preserve"> Unit.</w:t>
      </w:r>
    </w:p>
    <w:p w14:paraId="20560977" w14:textId="77777777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>Identify sources and gather and compile data and information for the preparation of documents, guidelines, and other material as required.</w:t>
      </w:r>
    </w:p>
    <w:p w14:paraId="1FB5E3E3" w14:textId="77777777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 xml:space="preserve">Notetaking in meetings and drafting written reports. </w:t>
      </w:r>
    </w:p>
    <w:p w14:paraId="1FF44426" w14:textId="77777777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 xml:space="preserve">Assist the team in monitoring and implementation </w:t>
      </w:r>
      <w:proofErr w:type="spellStart"/>
      <w:r w:rsidRPr="0005404F">
        <w:rPr>
          <w:rFonts w:cstheme="minorHAnsi"/>
        </w:rPr>
        <w:t>programme</w:t>
      </w:r>
      <w:proofErr w:type="spellEnd"/>
      <w:r w:rsidRPr="0005404F">
        <w:rPr>
          <w:rFonts w:cstheme="minorHAnsi"/>
        </w:rPr>
        <w:t xml:space="preserve"> activities, including analysis of achieved outcomes, financial </w:t>
      </w:r>
      <w:proofErr w:type="gramStart"/>
      <w:r w:rsidRPr="0005404F">
        <w:rPr>
          <w:rFonts w:cstheme="minorHAnsi"/>
        </w:rPr>
        <w:t>monitoring</w:t>
      </w:r>
      <w:proofErr w:type="gramEnd"/>
      <w:r w:rsidRPr="0005404F">
        <w:rPr>
          <w:rFonts w:cstheme="minorHAnsi"/>
        </w:rPr>
        <w:t xml:space="preserve"> and reporting.</w:t>
      </w:r>
    </w:p>
    <w:p w14:paraId="78E7209F" w14:textId="77777777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 xml:space="preserve">Maintain an organised electronic and hardcopy filing systems in accordance with internal procedures, which includes the preparation and recording of all documentation and control plans used for the monitoring of </w:t>
      </w:r>
      <w:proofErr w:type="spellStart"/>
      <w:r w:rsidRPr="0005404F">
        <w:rPr>
          <w:rFonts w:cstheme="minorHAnsi"/>
        </w:rPr>
        <w:t>programme</w:t>
      </w:r>
      <w:proofErr w:type="spellEnd"/>
      <w:r w:rsidRPr="0005404F">
        <w:rPr>
          <w:rFonts w:cstheme="minorHAnsi"/>
        </w:rPr>
        <w:t xml:space="preserve"> implementation.</w:t>
      </w:r>
    </w:p>
    <w:p w14:paraId="55DB6427" w14:textId="77777777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 xml:space="preserve">Drafting contributions to </w:t>
      </w:r>
      <w:proofErr w:type="spellStart"/>
      <w:r w:rsidRPr="0005404F">
        <w:rPr>
          <w:rFonts w:cstheme="minorHAnsi"/>
        </w:rPr>
        <w:t>programme</w:t>
      </w:r>
      <w:proofErr w:type="spellEnd"/>
      <w:r w:rsidRPr="0005404F">
        <w:rPr>
          <w:rFonts w:cstheme="minorHAnsi"/>
        </w:rPr>
        <w:t>-related reports and correspondence</w:t>
      </w:r>
    </w:p>
    <w:p w14:paraId="5C9E17B0" w14:textId="3E614C38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 xml:space="preserve">Maintaining up-to-date work files for the IIJ </w:t>
      </w:r>
      <w:r w:rsidR="00EB63F9">
        <w:rPr>
          <w:rFonts w:cstheme="minorHAnsi"/>
        </w:rPr>
        <w:t>Programmatic</w:t>
      </w:r>
      <w:r w:rsidRPr="0005404F">
        <w:rPr>
          <w:rFonts w:cstheme="minorHAnsi"/>
        </w:rPr>
        <w:t xml:space="preserve"> Unit.</w:t>
      </w:r>
    </w:p>
    <w:p w14:paraId="37FFADE1" w14:textId="77777777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>Liaising with participants at each stage of the course cycle.</w:t>
      </w:r>
    </w:p>
    <w:p w14:paraId="66BE5CA3" w14:textId="77777777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</w:rPr>
      </w:pPr>
      <w:r w:rsidRPr="0005404F">
        <w:rPr>
          <w:rFonts w:cstheme="minorHAnsi"/>
        </w:rPr>
        <w:t>Translation of documents as required.</w:t>
      </w:r>
    </w:p>
    <w:p w14:paraId="0345C9A7" w14:textId="399C47B3" w:rsidR="0005404F" w:rsidRPr="0005404F" w:rsidRDefault="0005404F" w:rsidP="0022685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cstheme="minorHAnsi"/>
          <w:lang w:val="uz-Cyrl-UZ"/>
        </w:rPr>
      </w:pPr>
      <w:r w:rsidRPr="0005404F">
        <w:rPr>
          <w:rFonts w:cstheme="minorHAnsi"/>
        </w:rPr>
        <w:t>Performing other administrative duties to support both the IIJ’s</w:t>
      </w:r>
      <w:r w:rsidR="00A137B9">
        <w:rPr>
          <w:rFonts w:cstheme="minorHAnsi"/>
        </w:rPr>
        <w:t xml:space="preserve"> </w:t>
      </w:r>
      <w:r w:rsidRPr="0005404F">
        <w:rPr>
          <w:rFonts w:cstheme="minorHAnsi"/>
        </w:rPr>
        <w:t>operational frameworks as required.</w:t>
      </w:r>
    </w:p>
    <w:p w14:paraId="055BE978" w14:textId="77777777" w:rsidR="0005404F" w:rsidRPr="0005404F" w:rsidRDefault="0005404F" w:rsidP="00226851">
      <w:pPr>
        <w:jc w:val="both"/>
        <w:rPr>
          <w:rFonts w:cs="Arial"/>
        </w:rPr>
      </w:pPr>
    </w:p>
    <w:bookmarkEnd w:id="0"/>
    <w:p w14:paraId="5FF917E3" w14:textId="03E33923" w:rsidR="00A31570" w:rsidRPr="0005404F" w:rsidRDefault="00C8179E" w:rsidP="00226851">
      <w:pPr>
        <w:tabs>
          <w:tab w:val="left" w:pos="6390"/>
        </w:tabs>
        <w:jc w:val="both"/>
        <w:rPr>
          <w:rFonts w:cs="Arial"/>
          <w:bCs/>
          <w:color w:val="BC0C1B"/>
          <w:sz w:val="28"/>
          <w:szCs w:val="28"/>
        </w:rPr>
      </w:pPr>
      <w:r w:rsidRPr="0005404F">
        <w:rPr>
          <w:rFonts w:cs="Arial"/>
          <w:bCs/>
          <w:color w:val="BC0C1B"/>
          <w:sz w:val="28"/>
          <w:szCs w:val="28"/>
        </w:rPr>
        <w:t>Criteria &amp; Qualifications</w:t>
      </w:r>
    </w:p>
    <w:p w14:paraId="2F863E90" w14:textId="4C1AE8C3" w:rsidR="007E59D5" w:rsidRPr="0005404F" w:rsidRDefault="007E59D5" w:rsidP="00226851">
      <w:pPr>
        <w:jc w:val="both"/>
        <w:rPr>
          <w:rFonts w:cs="Arial"/>
          <w:b/>
          <w:bCs/>
          <w:color w:val="FF0000"/>
          <w:sz w:val="28"/>
          <w:szCs w:val="28"/>
        </w:rPr>
      </w:pPr>
    </w:p>
    <w:p w14:paraId="1F46F94A" w14:textId="2AFC3E60" w:rsidR="007C1BE8" w:rsidRPr="0005404F" w:rsidRDefault="007E59D5" w:rsidP="00226851">
      <w:pPr>
        <w:jc w:val="both"/>
        <w:rPr>
          <w:rFonts w:cs="Arial"/>
        </w:rPr>
      </w:pPr>
      <w:r w:rsidRPr="0005404F">
        <w:rPr>
          <w:rFonts w:cs="Arial"/>
        </w:rPr>
        <w:t>The mandatory requirements for this role are as follows:</w:t>
      </w:r>
    </w:p>
    <w:p w14:paraId="78FB7A82" w14:textId="6297B347" w:rsidR="007C1BE8" w:rsidRPr="0005404F" w:rsidRDefault="007C1BE8" w:rsidP="00226851">
      <w:pPr>
        <w:jc w:val="both"/>
        <w:rPr>
          <w:rFonts w:cs="Arial"/>
          <w:b/>
          <w:bCs/>
        </w:rPr>
      </w:pPr>
    </w:p>
    <w:p w14:paraId="71A18B45" w14:textId="7A1EBA7B" w:rsidR="00AB477B" w:rsidRPr="0005404F" w:rsidRDefault="007C1BE8" w:rsidP="00226851">
      <w:pPr>
        <w:pStyle w:val="BodyText"/>
        <w:rPr>
          <w:rFonts w:asciiTheme="minorHAnsi" w:hAnsiTheme="minorHAnsi" w:cs="Arial"/>
          <w:color w:val="auto"/>
        </w:rPr>
      </w:pPr>
      <w:r w:rsidRPr="0005404F">
        <w:rPr>
          <w:rFonts w:asciiTheme="minorHAnsi" w:hAnsiTheme="minorHAnsi" w:cs="Arial"/>
          <w:b/>
          <w:color w:val="auto"/>
        </w:rPr>
        <w:t>Education</w:t>
      </w:r>
      <w:r w:rsidR="00F12974" w:rsidRPr="0005404F">
        <w:rPr>
          <w:rFonts w:asciiTheme="minorHAnsi" w:hAnsiTheme="minorHAnsi" w:cs="Arial"/>
          <w:b/>
          <w:color w:val="auto"/>
        </w:rPr>
        <w:t xml:space="preserve"> </w:t>
      </w:r>
    </w:p>
    <w:p w14:paraId="1544FAC2" w14:textId="3DDEEB18" w:rsidR="001F3394" w:rsidRPr="0005404F" w:rsidRDefault="001F3394" w:rsidP="00226851">
      <w:pPr>
        <w:pStyle w:val="BodyText"/>
        <w:rPr>
          <w:rFonts w:asciiTheme="minorHAnsi" w:hAnsiTheme="minorHAnsi" w:cs="Arial"/>
          <w:color w:val="auto"/>
        </w:rPr>
      </w:pPr>
      <w:r w:rsidRPr="0005404F">
        <w:rPr>
          <w:rFonts w:asciiTheme="minorHAnsi" w:hAnsiTheme="minorHAnsi" w:cs="Arial"/>
          <w:color w:val="auto"/>
        </w:rPr>
        <w:t xml:space="preserve">Completion of </w:t>
      </w:r>
      <w:r w:rsidR="00D62354" w:rsidRPr="0005404F">
        <w:rPr>
          <w:rFonts w:asciiTheme="minorHAnsi" w:hAnsiTheme="minorHAnsi" w:cs="Arial"/>
          <w:color w:val="auto"/>
        </w:rPr>
        <w:t>secondary e</w:t>
      </w:r>
      <w:r w:rsidRPr="0005404F">
        <w:rPr>
          <w:rFonts w:asciiTheme="minorHAnsi" w:hAnsiTheme="minorHAnsi" w:cs="Arial"/>
          <w:color w:val="auto"/>
        </w:rPr>
        <w:t>ducation is required</w:t>
      </w:r>
      <w:r w:rsidR="00A817CA" w:rsidRPr="0005404F">
        <w:rPr>
          <w:rFonts w:asciiTheme="minorHAnsi" w:hAnsiTheme="minorHAnsi" w:cs="Arial"/>
          <w:color w:val="auto"/>
        </w:rPr>
        <w:t>,</w:t>
      </w:r>
      <w:r w:rsidRPr="0005404F">
        <w:rPr>
          <w:rFonts w:asciiTheme="minorHAnsi" w:hAnsiTheme="minorHAnsi" w:cs="Arial"/>
          <w:color w:val="auto"/>
        </w:rPr>
        <w:t xml:space="preserve"> supplemented by formal training in secretarial administration support. University degree (or equivalent) in Business or Public Administration or related field is an asset.</w:t>
      </w:r>
    </w:p>
    <w:p w14:paraId="64030BDE" w14:textId="5FB9AFFE" w:rsidR="007C1BE8" w:rsidRPr="0005404F" w:rsidRDefault="007C1BE8" w:rsidP="00226851">
      <w:pPr>
        <w:pStyle w:val="BodyText"/>
        <w:rPr>
          <w:rFonts w:asciiTheme="minorHAnsi" w:hAnsiTheme="minorHAnsi" w:cs="Arial"/>
          <w:b/>
          <w:color w:val="auto"/>
        </w:rPr>
      </w:pPr>
      <w:r w:rsidRPr="0005404F">
        <w:rPr>
          <w:rFonts w:asciiTheme="minorHAnsi" w:hAnsiTheme="minorHAnsi" w:cs="Arial"/>
          <w:b/>
          <w:color w:val="auto"/>
        </w:rPr>
        <w:t xml:space="preserve">Work Experience </w:t>
      </w:r>
    </w:p>
    <w:p w14:paraId="63EB3803" w14:textId="3B775FF7" w:rsidR="007C1BE8" w:rsidRDefault="007C1BE8" w:rsidP="00226851">
      <w:pPr>
        <w:pStyle w:val="BodyText"/>
        <w:rPr>
          <w:rFonts w:asciiTheme="minorHAnsi" w:hAnsiTheme="minorHAnsi" w:cs="Arial"/>
          <w:color w:val="auto"/>
        </w:rPr>
      </w:pPr>
      <w:r w:rsidRPr="0005404F">
        <w:rPr>
          <w:rFonts w:asciiTheme="minorHAnsi" w:hAnsiTheme="minorHAnsi" w:cs="Arial"/>
          <w:color w:val="auto"/>
        </w:rPr>
        <w:t xml:space="preserve">A minimum of </w:t>
      </w:r>
      <w:r w:rsidR="00A077BD" w:rsidRPr="0005404F">
        <w:rPr>
          <w:rFonts w:asciiTheme="minorHAnsi" w:hAnsiTheme="minorHAnsi" w:cs="Arial"/>
          <w:color w:val="auto"/>
        </w:rPr>
        <w:t>three</w:t>
      </w:r>
      <w:r w:rsidRPr="0005404F">
        <w:rPr>
          <w:rFonts w:asciiTheme="minorHAnsi" w:hAnsiTheme="minorHAnsi" w:cs="Arial"/>
          <w:color w:val="auto"/>
        </w:rPr>
        <w:t xml:space="preserve"> years of relevant experience </w:t>
      </w:r>
      <w:r w:rsidR="00F12974" w:rsidRPr="0005404F">
        <w:rPr>
          <w:rFonts w:asciiTheme="minorHAnsi" w:hAnsiTheme="minorHAnsi" w:cs="Arial"/>
          <w:color w:val="auto"/>
        </w:rPr>
        <w:t>in secretarial or administrative support functions</w:t>
      </w:r>
      <w:r w:rsidRPr="0005404F">
        <w:rPr>
          <w:rFonts w:asciiTheme="minorHAnsi" w:hAnsiTheme="minorHAnsi" w:cs="Arial"/>
          <w:color w:val="auto"/>
        </w:rPr>
        <w:t xml:space="preserve">. </w:t>
      </w:r>
    </w:p>
    <w:p w14:paraId="6DA95A93" w14:textId="6B3BB948" w:rsidR="00A137B9" w:rsidRDefault="00A137B9" w:rsidP="00226851">
      <w:pPr>
        <w:pStyle w:val="BodyText"/>
        <w:rPr>
          <w:rFonts w:asciiTheme="minorHAnsi" w:hAnsiTheme="minorHAnsi" w:cs="Arial"/>
          <w:b/>
          <w:color w:val="auto"/>
        </w:rPr>
      </w:pPr>
    </w:p>
    <w:p w14:paraId="6D3FEE92" w14:textId="48B05B23" w:rsidR="00A137B9" w:rsidRDefault="00A137B9" w:rsidP="00226851">
      <w:pPr>
        <w:pStyle w:val="BodyText"/>
        <w:rPr>
          <w:rFonts w:asciiTheme="minorHAnsi" w:hAnsiTheme="minorHAnsi" w:cs="Arial"/>
          <w:b/>
          <w:color w:val="auto"/>
        </w:rPr>
      </w:pPr>
    </w:p>
    <w:p w14:paraId="30A5308C" w14:textId="77777777" w:rsidR="00A137B9" w:rsidRPr="0005404F" w:rsidRDefault="00A137B9" w:rsidP="00226851">
      <w:pPr>
        <w:pStyle w:val="BodyText"/>
        <w:rPr>
          <w:rFonts w:asciiTheme="minorHAnsi" w:hAnsiTheme="minorHAnsi" w:cs="Arial"/>
          <w:b/>
          <w:color w:val="auto"/>
        </w:rPr>
      </w:pPr>
    </w:p>
    <w:p w14:paraId="51D0A84D" w14:textId="105C7E5C" w:rsidR="007C1BE8" w:rsidRPr="0005404F" w:rsidRDefault="002A21CB" w:rsidP="00226851">
      <w:pPr>
        <w:pStyle w:val="BodyText"/>
        <w:rPr>
          <w:rFonts w:asciiTheme="minorHAnsi" w:hAnsiTheme="minorHAnsi" w:cs="Arial"/>
          <w:b/>
          <w:color w:val="auto"/>
        </w:rPr>
      </w:pPr>
      <w:r w:rsidRPr="0005404F">
        <w:rPr>
          <w:rFonts w:asciiTheme="minorHAnsi" w:hAnsiTheme="minorHAnsi" w:cs="Arial"/>
          <w:b/>
          <w:color w:val="auto"/>
        </w:rPr>
        <w:t>Skills</w:t>
      </w:r>
    </w:p>
    <w:p w14:paraId="4E955113" w14:textId="1794CC07" w:rsidR="00A137B9" w:rsidRDefault="00A137B9" w:rsidP="00A137B9">
      <w:pPr>
        <w:pStyle w:val="BodyText"/>
        <w:numPr>
          <w:ilvl w:val="0"/>
          <w:numId w:val="4"/>
        </w:numPr>
        <w:spacing w:after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Fluent in</w:t>
      </w:r>
      <w:r w:rsidRPr="00975098">
        <w:rPr>
          <w:rFonts w:asciiTheme="minorHAnsi" w:hAnsiTheme="minorHAnsi" w:cs="Arial"/>
          <w:color w:val="auto"/>
        </w:rPr>
        <w:t xml:space="preserve"> Arabic </w:t>
      </w:r>
      <w:r>
        <w:rPr>
          <w:rFonts w:asciiTheme="minorHAnsi" w:hAnsiTheme="minorHAnsi" w:cs="Arial"/>
          <w:color w:val="auto"/>
        </w:rPr>
        <w:t xml:space="preserve">and </w:t>
      </w:r>
      <w:r w:rsidRPr="00975098">
        <w:rPr>
          <w:rFonts w:asciiTheme="minorHAnsi" w:hAnsiTheme="minorHAnsi" w:cs="Arial"/>
          <w:color w:val="auto"/>
        </w:rPr>
        <w:t>French language</w:t>
      </w:r>
      <w:r>
        <w:rPr>
          <w:rFonts w:asciiTheme="minorHAnsi" w:hAnsiTheme="minorHAnsi" w:cs="Arial"/>
          <w:color w:val="auto"/>
        </w:rPr>
        <w:t xml:space="preserve">. </w:t>
      </w:r>
      <w:r w:rsidRPr="00975098">
        <w:rPr>
          <w:rFonts w:asciiTheme="minorHAnsi" w:hAnsiTheme="minorHAnsi" w:cs="Arial"/>
          <w:color w:val="auto"/>
        </w:rPr>
        <w:t xml:space="preserve"> </w:t>
      </w:r>
    </w:p>
    <w:p w14:paraId="4263E922" w14:textId="18CACE4B" w:rsidR="00A137B9" w:rsidRPr="00A137B9" w:rsidRDefault="00A137B9" w:rsidP="00A137B9">
      <w:pPr>
        <w:pStyle w:val="BodyText"/>
        <w:numPr>
          <w:ilvl w:val="0"/>
          <w:numId w:val="4"/>
        </w:numPr>
        <w:spacing w:after="0"/>
        <w:rPr>
          <w:rFonts w:asciiTheme="minorHAnsi" w:hAnsiTheme="minorHAnsi" w:cs="Arial"/>
          <w:color w:val="auto"/>
        </w:rPr>
      </w:pPr>
      <w:r w:rsidRPr="00975098">
        <w:rPr>
          <w:rFonts w:asciiTheme="minorHAnsi" w:hAnsiTheme="minorHAnsi" w:cs="Arial"/>
          <w:color w:val="auto"/>
        </w:rPr>
        <w:t xml:space="preserve">Professional fluency in English with excellent oral and written communication skills. </w:t>
      </w:r>
    </w:p>
    <w:p w14:paraId="049E50A0" w14:textId="5D317D00" w:rsidR="009A2287" w:rsidRPr="00975098" w:rsidRDefault="009A2287" w:rsidP="00226851">
      <w:pPr>
        <w:pStyle w:val="BodyText"/>
        <w:numPr>
          <w:ilvl w:val="0"/>
          <w:numId w:val="4"/>
        </w:numPr>
        <w:spacing w:after="0"/>
        <w:rPr>
          <w:rFonts w:asciiTheme="minorHAnsi" w:hAnsiTheme="minorHAnsi" w:cs="Arial"/>
          <w:color w:val="auto"/>
        </w:rPr>
      </w:pPr>
      <w:r w:rsidRPr="00975098">
        <w:rPr>
          <w:rFonts w:asciiTheme="minorHAnsi" w:hAnsiTheme="minorHAnsi" w:cs="Arial"/>
          <w:color w:val="auto"/>
        </w:rPr>
        <w:t>Drafting and reporting skills</w:t>
      </w:r>
      <w:r w:rsidR="00067DB6" w:rsidRPr="00975098">
        <w:rPr>
          <w:rFonts w:asciiTheme="minorHAnsi" w:hAnsiTheme="minorHAnsi" w:cs="Arial"/>
          <w:color w:val="auto"/>
        </w:rPr>
        <w:t>.</w:t>
      </w:r>
      <w:r w:rsidRPr="00975098">
        <w:rPr>
          <w:rFonts w:asciiTheme="minorHAnsi" w:hAnsiTheme="minorHAnsi" w:cs="Arial"/>
          <w:color w:val="auto"/>
        </w:rPr>
        <w:t xml:space="preserve"> </w:t>
      </w:r>
    </w:p>
    <w:p w14:paraId="4887AB8B" w14:textId="734E06D0" w:rsidR="009A2287" w:rsidRPr="00975098" w:rsidRDefault="009A2287" w:rsidP="00226851">
      <w:pPr>
        <w:pStyle w:val="BodyText"/>
        <w:numPr>
          <w:ilvl w:val="0"/>
          <w:numId w:val="4"/>
        </w:numPr>
        <w:spacing w:after="0"/>
        <w:rPr>
          <w:rFonts w:asciiTheme="minorHAnsi" w:hAnsiTheme="minorHAnsi" w:cs="Arial"/>
          <w:color w:val="auto"/>
        </w:rPr>
      </w:pPr>
      <w:r w:rsidRPr="00975098">
        <w:rPr>
          <w:rFonts w:asciiTheme="minorHAnsi" w:hAnsiTheme="minorHAnsi" w:cs="Arial"/>
          <w:color w:val="auto"/>
        </w:rPr>
        <w:t>Computer litera</w:t>
      </w:r>
      <w:r w:rsidR="00067DB6" w:rsidRPr="00975098">
        <w:rPr>
          <w:rFonts w:asciiTheme="minorHAnsi" w:hAnsiTheme="minorHAnsi" w:cs="Arial"/>
          <w:color w:val="auto"/>
        </w:rPr>
        <w:t>cy, including Microsoft Office.</w:t>
      </w:r>
      <w:r w:rsidRPr="00975098">
        <w:rPr>
          <w:rFonts w:asciiTheme="minorHAnsi" w:hAnsiTheme="minorHAnsi" w:cs="Arial"/>
          <w:color w:val="auto"/>
        </w:rPr>
        <w:t xml:space="preserve">  </w:t>
      </w:r>
    </w:p>
    <w:p w14:paraId="26FF6D24" w14:textId="39322FF1" w:rsidR="009A2287" w:rsidRPr="00975098" w:rsidRDefault="009A2287" w:rsidP="00226851">
      <w:pPr>
        <w:pStyle w:val="BodyText"/>
        <w:numPr>
          <w:ilvl w:val="0"/>
          <w:numId w:val="5"/>
        </w:numPr>
        <w:spacing w:after="0"/>
        <w:rPr>
          <w:rFonts w:asciiTheme="minorHAnsi" w:hAnsiTheme="minorHAnsi" w:cs="Arial"/>
          <w:color w:val="auto"/>
        </w:rPr>
      </w:pPr>
      <w:r w:rsidRPr="00975098">
        <w:rPr>
          <w:rFonts w:asciiTheme="minorHAnsi" w:hAnsiTheme="minorHAnsi" w:cs="Arial"/>
          <w:color w:val="auto"/>
        </w:rPr>
        <w:t xml:space="preserve">Demonstrated awareness of multicultural dynamics and </w:t>
      </w:r>
      <w:r w:rsidR="00067DB6" w:rsidRPr="00975098">
        <w:rPr>
          <w:rFonts w:asciiTheme="minorHAnsi" w:hAnsiTheme="minorHAnsi" w:cs="Arial"/>
          <w:color w:val="auto"/>
        </w:rPr>
        <w:t xml:space="preserve">the </w:t>
      </w:r>
      <w:r w:rsidRPr="00975098">
        <w:rPr>
          <w:rFonts w:asciiTheme="minorHAnsi" w:hAnsiTheme="minorHAnsi" w:cs="Arial"/>
          <w:color w:val="auto"/>
        </w:rPr>
        <w:t>ability to work in a team</w:t>
      </w:r>
      <w:r w:rsidR="00067DB6" w:rsidRPr="00975098">
        <w:rPr>
          <w:rFonts w:asciiTheme="minorHAnsi" w:hAnsiTheme="minorHAnsi" w:cs="Arial"/>
          <w:color w:val="auto"/>
        </w:rPr>
        <w:t>,</w:t>
      </w:r>
      <w:r w:rsidRPr="00975098">
        <w:rPr>
          <w:rFonts w:asciiTheme="minorHAnsi" w:hAnsiTheme="minorHAnsi" w:cs="Arial"/>
          <w:color w:val="auto"/>
        </w:rPr>
        <w:t xml:space="preserve"> whil</w:t>
      </w:r>
      <w:r w:rsidR="00067DB6" w:rsidRPr="00975098">
        <w:rPr>
          <w:rFonts w:asciiTheme="minorHAnsi" w:hAnsiTheme="minorHAnsi" w:cs="Arial"/>
          <w:color w:val="auto"/>
        </w:rPr>
        <w:t>e</w:t>
      </w:r>
      <w:r w:rsidRPr="00975098">
        <w:rPr>
          <w:rFonts w:asciiTheme="minorHAnsi" w:hAnsiTheme="minorHAnsi" w:cs="Arial"/>
          <w:color w:val="auto"/>
        </w:rPr>
        <w:t xml:space="preserve"> establishing collaborative working relationships with persons from diverse cultural backgrounds.</w:t>
      </w:r>
    </w:p>
    <w:p w14:paraId="7036F726" w14:textId="43C15FC6" w:rsidR="007E59D5" w:rsidRPr="00975098" w:rsidRDefault="00C8179E" w:rsidP="00226851">
      <w:pPr>
        <w:pStyle w:val="BodyText"/>
        <w:numPr>
          <w:ilvl w:val="0"/>
          <w:numId w:val="5"/>
        </w:numPr>
        <w:spacing w:after="0"/>
        <w:rPr>
          <w:rFonts w:asciiTheme="minorHAnsi" w:hAnsiTheme="minorHAnsi" w:cs="Arial"/>
          <w:color w:val="auto"/>
        </w:rPr>
      </w:pPr>
      <w:r w:rsidRPr="00975098">
        <w:rPr>
          <w:rFonts w:asciiTheme="minorHAnsi" w:hAnsiTheme="minorHAnsi" w:cs="Arial"/>
          <w:color w:val="auto"/>
        </w:rPr>
        <w:t xml:space="preserve">Current </w:t>
      </w:r>
      <w:r w:rsidR="00975098" w:rsidRPr="00975098">
        <w:rPr>
          <w:rFonts w:asciiTheme="minorHAnsi" w:hAnsiTheme="minorHAnsi" w:cs="Arial"/>
          <w:color w:val="auto"/>
        </w:rPr>
        <w:t>authorization</w:t>
      </w:r>
      <w:r w:rsidR="00067DB6" w:rsidRPr="00975098">
        <w:rPr>
          <w:rFonts w:asciiTheme="minorHAnsi" w:hAnsiTheme="minorHAnsi" w:cs="Arial"/>
          <w:color w:val="auto"/>
        </w:rPr>
        <w:t xml:space="preserve"> to </w:t>
      </w:r>
      <w:r w:rsidR="007E59D5" w:rsidRPr="00975098">
        <w:rPr>
          <w:rFonts w:asciiTheme="minorHAnsi" w:hAnsiTheme="minorHAnsi" w:cs="Arial"/>
          <w:color w:val="auto"/>
        </w:rPr>
        <w:t>work in Malta</w:t>
      </w:r>
      <w:r w:rsidR="00067DB6" w:rsidRPr="00975098">
        <w:rPr>
          <w:rFonts w:asciiTheme="minorHAnsi" w:hAnsiTheme="minorHAnsi" w:cs="Arial"/>
          <w:color w:val="auto"/>
        </w:rPr>
        <w:t>.</w:t>
      </w:r>
    </w:p>
    <w:p w14:paraId="508AE4B1" w14:textId="77777777" w:rsidR="007B4D3B" w:rsidRPr="00975098" w:rsidRDefault="007B4D3B" w:rsidP="00226851">
      <w:pPr>
        <w:jc w:val="both"/>
        <w:rPr>
          <w:rFonts w:cs="Arial"/>
          <w:b/>
          <w:bCs/>
        </w:rPr>
      </w:pPr>
    </w:p>
    <w:p w14:paraId="7C8F1293" w14:textId="6550DF8F" w:rsidR="007B4D3B" w:rsidRPr="00975098" w:rsidRDefault="00C8179E" w:rsidP="00226851">
      <w:pPr>
        <w:tabs>
          <w:tab w:val="left" w:pos="6390"/>
        </w:tabs>
        <w:jc w:val="both"/>
        <w:rPr>
          <w:rFonts w:cs="Arial"/>
          <w:bCs/>
          <w:color w:val="BC0C1B"/>
          <w:sz w:val="28"/>
          <w:szCs w:val="28"/>
        </w:rPr>
      </w:pPr>
      <w:r w:rsidRPr="00975098">
        <w:rPr>
          <w:rFonts w:cs="Arial"/>
          <w:bCs/>
          <w:color w:val="BC0C1B"/>
          <w:sz w:val="28"/>
          <w:szCs w:val="28"/>
        </w:rPr>
        <w:t>Deadline for Applications</w:t>
      </w:r>
    </w:p>
    <w:p w14:paraId="17C8858B" w14:textId="77777777" w:rsidR="007B4D3B" w:rsidRPr="00975098" w:rsidRDefault="007B4D3B" w:rsidP="00226851">
      <w:pPr>
        <w:jc w:val="both"/>
        <w:rPr>
          <w:rFonts w:cs="Arial"/>
        </w:rPr>
      </w:pPr>
    </w:p>
    <w:p w14:paraId="02B7EDF5" w14:textId="0E4A2F37" w:rsidR="007B4D3B" w:rsidRPr="00975098" w:rsidRDefault="007B4D3B" w:rsidP="00226851">
      <w:pPr>
        <w:shd w:val="clear" w:color="auto" w:fill="FFFFFF"/>
        <w:jc w:val="both"/>
        <w:rPr>
          <w:rFonts w:cs="Arial"/>
          <w:bCs/>
        </w:rPr>
      </w:pPr>
      <w:r w:rsidRPr="00975098">
        <w:rPr>
          <w:rFonts w:cs="Arial"/>
          <w:bCs/>
        </w:rPr>
        <w:t>All interested applicants meeting the qualifications</w:t>
      </w:r>
      <w:r w:rsidR="009F2B19" w:rsidRPr="00975098">
        <w:rPr>
          <w:rFonts w:cs="Arial"/>
          <w:bCs/>
        </w:rPr>
        <w:t xml:space="preserve"> and </w:t>
      </w:r>
      <w:r w:rsidR="00067DB6" w:rsidRPr="00975098">
        <w:rPr>
          <w:rFonts w:cs="Arial"/>
          <w:bCs/>
        </w:rPr>
        <w:t>personal</w:t>
      </w:r>
      <w:r w:rsidR="009F2B19" w:rsidRPr="00975098">
        <w:rPr>
          <w:rFonts w:cs="Arial"/>
          <w:bCs/>
        </w:rPr>
        <w:t xml:space="preserve"> specification</w:t>
      </w:r>
      <w:r w:rsidR="00067DB6" w:rsidRPr="00975098">
        <w:rPr>
          <w:rFonts w:cs="Arial"/>
          <w:bCs/>
        </w:rPr>
        <w:t>s listed above</w:t>
      </w:r>
      <w:r w:rsidRPr="00975098">
        <w:rPr>
          <w:rFonts w:cs="Arial"/>
          <w:bCs/>
        </w:rPr>
        <w:t xml:space="preserve"> </w:t>
      </w:r>
      <w:r w:rsidR="009F2B19" w:rsidRPr="00975098">
        <w:rPr>
          <w:rFonts w:cs="Arial"/>
          <w:bCs/>
        </w:rPr>
        <w:t>are invited to submit</w:t>
      </w:r>
      <w:r w:rsidRPr="00975098">
        <w:rPr>
          <w:rFonts w:cs="Arial"/>
          <w:bCs/>
        </w:rPr>
        <w:t xml:space="preserve"> a cover letter and resume/CV to the IIJ Executive Secretariat </w:t>
      </w:r>
      <w:r w:rsidR="00C8179E" w:rsidRPr="00975098">
        <w:rPr>
          <w:rFonts w:cs="Arial"/>
          <w:bCs/>
        </w:rPr>
        <w:t>via</w:t>
      </w:r>
      <w:r w:rsidR="00841310" w:rsidRPr="00975098">
        <w:rPr>
          <w:rFonts w:cs="Arial"/>
          <w:bCs/>
        </w:rPr>
        <w:t xml:space="preserve"> </w:t>
      </w:r>
      <w:r w:rsidR="001F3394" w:rsidRPr="005C2100">
        <w:rPr>
          <w:rFonts w:cs="Arial"/>
          <w:b/>
        </w:rPr>
        <w:t>HR</w:t>
      </w:r>
      <w:r w:rsidR="00841310" w:rsidRPr="005C2100">
        <w:rPr>
          <w:rFonts w:cs="Arial"/>
          <w:b/>
        </w:rPr>
        <w:t>@theiij.org</w:t>
      </w:r>
      <w:r w:rsidRPr="005C2100">
        <w:rPr>
          <w:rFonts w:cs="Arial"/>
          <w:b/>
        </w:rPr>
        <w:t xml:space="preserve"> </w:t>
      </w:r>
      <w:r w:rsidRPr="005C2100">
        <w:rPr>
          <w:rFonts w:cs="Arial"/>
          <w:bCs/>
        </w:rPr>
        <w:t>clearly stating</w:t>
      </w:r>
      <w:r w:rsidRPr="005C2100">
        <w:rPr>
          <w:rFonts w:cs="Arial"/>
          <w:b/>
        </w:rPr>
        <w:t xml:space="preserve"> “</w:t>
      </w:r>
      <w:r w:rsidR="001F3394" w:rsidRPr="005C2100">
        <w:rPr>
          <w:rFonts w:cs="Arial"/>
          <w:b/>
        </w:rPr>
        <w:t>P</w:t>
      </w:r>
      <w:r w:rsidR="007B2558" w:rsidRPr="005C2100">
        <w:rPr>
          <w:rFonts w:cs="Arial"/>
          <w:b/>
        </w:rPr>
        <w:t>A</w:t>
      </w:r>
      <w:r w:rsidR="00A137B9">
        <w:rPr>
          <w:rFonts w:cs="Arial"/>
          <w:b/>
        </w:rPr>
        <w:t>01_2022</w:t>
      </w:r>
      <w:r w:rsidRPr="005C2100">
        <w:rPr>
          <w:rFonts w:cs="Arial"/>
          <w:b/>
        </w:rPr>
        <w:t xml:space="preserve">” </w:t>
      </w:r>
      <w:r w:rsidRPr="005C2100">
        <w:rPr>
          <w:rFonts w:cs="Arial"/>
          <w:bCs/>
        </w:rPr>
        <w:t>in the subject line.</w:t>
      </w:r>
      <w:r w:rsidR="002A3DB0" w:rsidRPr="005C2100">
        <w:rPr>
          <w:rFonts w:cs="Arial"/>
          <w:bCs/>
        </w:rPr>
        <w:t xml:space="preserve"> </w:t>
      </w:r>
      <w:r w:rsidR="00C8179E" w:rsidRPr="005C2100">
        <w:rPr>
          <w:rFonts w:cs="Arial"/>
          <w:bCs/>
        </w:rPr>
        <w:t xml:space="preserve">The vacancy shall remain open </w:t>
      </w:r>
      <w:r w:rsidR="002A3DB0" w:rsidRPr="005C2100">
        <w:rPr>
          <w:rFonts w:cs="Arial"/>
          <w:bCs/>
        </w:rPr>
        <w:t>until filled.</w:t>
      </w:r>
      <w:r w:rsidR="002A3DB0" w:rsidRPr="00975098">
        <w:rPr>
          <w:rFonts w:cs="Arial"/>
          <w:bCs/>
        </w:rPr>
        <w:t xml:space="preserve"> </w:t>
      </w:r>
    </w:p>
    <w:p w14:paraId="5A10AF2F" w14:textId="16134BCF" w:rsidR="002A3DB0" w:rsidRPr="00975098" w:rsidRDefault="002A3DB0" w:rsidP="00226851">
      <w:pPr>
        <w:shd w:val="clear" w:color="auto" w:fill="FFFFFF"/>
        <w:jc w:val="both"/>
        <w:rPr>
          <w:rFonts w:cs="Arial"/>
          <w:b/>
        </w:rPr>
      </w:pPr>
    </w:p>
    <w:sectPr w:rsidR="002A3DB0" w:rsidRPr="00975098" w:rsidSect="0099429B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7F27" w14:textId="77777777" w:rsidR="00D94053" w:rsidRDefault="00D94053" w:rsidP="00DF33F6">
      <w:r>
        <w:separator/>
      </w:r>
    </w:p>
  </w:endnote>
  <w:endnote w:type="continuationSeparator" w:id="0">
    <w:p w14:paraId="068D2319" w14:textId="77777777" w:rsidR="00D94053" w:rsidRDefault="00D94053" w:rsidP="00DF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0ADC" w14:textId="1C393528" w:rsidR="00D513EC" w:rsidRDefault="00D513EC" w:rsidP="00DF33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953">
      <w:rPr>
        <w:noProof/>
      </w:rPr>
      <w:t>1</w:t>
    </w:r>
    <w:r>
      <w:rPr>
        <w:noProof/>
      </w:rPr>
      <w:fldChar w:fldCharType="end"/>
    </w:r>
    <w:r>
      <w:rPr>
        <w:noProof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DFF4" w14:textId="77777777" w:rsidR="00D94053" w:rsidRDefault="00D94053" w:rsidP="00DF33F6">
      <w:r>
        <w:separator/>
      </w:r>
    </w:p>
  </w:footnote>
  <w:footnote w:type="continuationSeparator" w:id="0">
    <w:p w14:paraId="50FBFFC0" w14:textId="77777777" w:rsidR="00D94053" w:rsidRDefault="00D94053" w:rsidP="00DF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89E"/>
    <w:multiLevelType w:val="hybridMultilevel"/>
    <w:tmpl w:val="82C68D44"/>
    <w:lvl w:ilvl="0" w:tplc="14BCC2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D12"/>
    <w:multiLevelType w:val="hybridMultilevel"/>
    <w:tmpl w:val="284EAF5C"/>
    <w:lvl w:ilvl="0" w:tplc="14BCC2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6154"/>
    <w:multiLevelType w:val="multilevel"/>
    <w:tmpl w:val="532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5B5978"/>
    <w:multiLevelType w:val="hybridMultilevel"/>
    <w:tmpl w:val="25BE51F8"/>
    <w:lvl w:ilvl="0" w:tplc="204EBE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1614"/>
    <w:multiLevelType w:val="hybridMultilevel"/>
    <w:tmpl w:val="497C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6E14"/>
    <w:multiLevelType w:val="multilevel"/>
    <w:tmpl w:val="ABF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C3722"/>
    <w:multiLevelType w:val="hybridMultilevel"/>
    <w:tmpl w:val="98964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E5F1E"/>
    <w:multiLevelType w:val="hybridMultilevel"/>
    <w:tmpl w:val="8332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4E5"/>
    <w:multiLevelType w:val="hybridMultilevel"/>
    <w:tmpl w:val="2E2832E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31A6B"/>
    <w:multiLevelType w:val="hybridMultilevel"/>
    <w:tmpl w:val="7FB4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671D8"/>
    <w:multiLevelType w:val="multilevel"/>
    <w:tmpl w:val="554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45410E"/>
    <w:multiLevelType w:val="hybridMultilevel"/>
    <w:tmpl w:val="EFBE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6BD5"/>
    <w:multiLevelType w:val="hybridMultilevel"/>
    <w:tmpl w:val="3A5C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2136"/>
    <w:multiLevelType w:val="hybridMultilevel"/>
    <w:tmpl w:val="A5F2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06548"/>
    <w:multiLevelType w:val="hybridMultilevel"/>
    <w:tmpl w:val="7C4E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NzSwNDI0MzUztjBX0lEKTi0uzszPAykwrgUASnwbUCwAAAA="/>
  </w:docVars>
  <w:rsids>
    <w:rsidRoot w:val="001A68D1"/>
    <w:rsid w:val="00001573"/>
    <w:rsid w:val="000156B7"/>
    <w:rsid w:val="00016A4A"/>
    <w:rsid w:val="000219A8"/>
    <w:rsid w:val="00030B8B"/>
    <w:rsid w:val="00041D56"/>
    <w:rsid w:val="0005404F"/>
    <w:rsid w:val="0005624F"/>
    <w:rsid w:val="0006141A"/>
    <w:rsid w:val="00067DB6"/>
    <w:rsid w:val="00071CF7"/>
    <w:rsid w:val="00074ED0"/>
    <w:rsid w:val="00077A56"/>
    <w:rsid w:val="000968AA"/>
    <w:rsid w:val="00096DB9"/>
    <w:rsid w:val="00097AB9"/>
    <w:rsid w:val="000A43C7"/>
    <w:rsid w:val="000A48F6"/>
    <w:rsid w:val="000B689B"/>
    <w:rsid w:val="000F2371"/>
    <w:rsid w:val="000F3B67"/>
    <w:rsid w:val="00127C4F"/>
    <w:rsid w:val="00132B9A"/>
    <w:rsid w:val="001734C0"/>
    <w:rsid w:val="00184DCD"/>
    <w:rsid w:val="001908DC"/>
    <w:rsid w:val="00196333"/>
    <w:rsid w:val="001A5E2A"/>
    <w:rsid w:val="001A68D1"/>
    <w:rsid w:val="001C4D8C"/>
    <w:rsid w:val="001F3394"/>
    <w:rsid w:val="002053A7"/>
    <w:rsid w:val="00226851"/>
    <w:rsid w:val="002268BD"/>
    <w:rsid w:val="00273A33"/>
    <w:rsid w:val="002740E1"/>
    <w:rsid w:val="002746C1"/>
    <w:rsid w:val="00281BDD"/>
    <w:rsid w:val="00284236"/>
    <w:rsid w:val="002866C5"/>
    <w:rsid w:val="00292BE9"/>
    <w:rsid w:val="00292D55"/>
    <w:rsid w:val="002A21CB"/>
    <w:rsid w:val="002A3206"/>
    <w:rsid w:val="002A3DB0"/>
    <w:rsid w:val="002A3E31"/>
    <w:rsid w:val="002A4FF0"/>
    <w:rsid w:val="002B2291"/>
    <w:rsid w:val="002B6686"/>
    <w:rsid w:val="002D13E7"/>
    <w:rsid w:val="002E62E2"/>
    <w:rsid w:val="002F080D"/>
    <w:rsid w:val="00301CA9"/>
    <w:rsid w:val="00311357"/>
    <w:rsid w:val="003131AA"/>
    <w:rsid w:val="003169D0"/>
    <w:rsid w:val="00320E3F"/>
    <w:rsid w:val="00332230"/>
    <w:rsid w:val="0035264D"/>
    <w:rsid w:val="003527DE"/>
    <w:rsid w:val="00354B9D"/>
    <w:rsid w:val="00363CC5"/>
    <w:rsid w:val="00385105"/>
    <w:rsid w:val="0039009A"/>
    <w:rsid w:val="00391F1D"/>
    <w:rsid w:val="003A52B8"/>
    <w:rsid w:val="003B7270"/>
    <w:rsid w:val="00405276"/>
    <w:rsid w:val="0041039A"/>
    <w:rsid w:val="00414E98"/>
    <w:rsid w:val="004336FC"/>
    <w:rsid w:val="004571E1"/>
    <w:rsid w:val="00467795"/>
    <w:rsid w:val="00485487"/>
    <w:rsid w:val="00490052"/>
    <w:rsid w:val="004922E6"/>
    <w:rsid w:val="00494660"/>
    <w:rsid w:val="00494F52"/>
    <w:rsid w:val="004A1986"/>
    <w:rsid w:val="004A5C94"/>
    <w:rsid w:val="004B2537"/>
    <w:rsid w:val="004C5FDE"/>
    <w:rsid w:val="004D0ACE"/>
    <w:rsid w:val="00501D86"/>
    <w:rsid w:val="00507097"/>
    <w:rsid w:val="00570A2D"/>
    <w:rsid w:val="00576414"/>
    <w:rsid w:val="00594C27"/>
    <w:rsid w:val="005A40FD"/>
    <w:rsid w:val="005B1CAC"/>
    <w:rsid w:val="005C2100"/>
    <w:rsid w:val="005C6C78"/>
    <w:rsid w:val="005D19D5"/>
    <w:rsid w:val="006010C5"/>
    <w:rsid w:val="00621949"/>
    <w:rsid w:val="00655CFC"/>
    <w:rsid w:val="00660086"/>
    <w:rsid w:val="00670BB3"/>
    <w:rsid w:val="006755DF"/>
    <w:rsid w:val="006A225E"/>
    <w:rsid w:val="006A7276"/>
    <w:rsid w:val="006B4928"/>
    <w:rsid w:val="006C6A8F"/>
    <w:rsid w:val="006D45F4"/>
    <w:rsid w:val="006D73DB"/>
    <w:rsid w:val="006E54F2"/>
    <w:rsid w:val="006E7BE2"/>
    <w:rsid w:val="006F4C48"/>
    <w:rsid w:val="007239BB"/>
    <w:rsid w:val="00733EBA"/>
    <w:rsid w:val="00740E69"/>
    <w:rsid w:val="00760FDE"/>
    <w:rsid w:val="00772F71"/>
    <w:rsid w:val="00791B4C"/>
    <w:rsid w:val="007A7160"/>
    <w:rsid w:val="007B2558"/>
    <w:rsid w:val="007B4D3B"/>
    <w:rsid w:val="007B70CC"/>
    <w:rsid w:val="007C1BE8"/>
    <w:rsid w:val="007E59D5"/>
    <w:rsid w:val="007F50CA"/>
    <w:rsid w:val="00805EF3"/>
    <w:rsid w:val="008141DF"/>
    <w:rsid w:val="00817AEC"/>
    <w:rsid w:val="0082236A"/>
    <w:rsid w:val="00841310"/>
    <w:rsid w:val="0084211F"/>
    <w:rsid w:val="00851518"/>
    <w:rsid w:val="00895B58"/>
    <w:rsid w:val="008A1557"/>
    <w:rsid w:val="008A189A"/>
    <w:rsid w:val="008A5196"/>
    <w:rsid w:val="008A6373"/>
    <w:rsid w:val="008F05F3"/>
    <w:rsid w:val="009079B7"/>
    <w:rsid w:val="00913B29"/>
    <w:rsid w:val="009247F8"/>
    <w:rsid w:val="00931D59"/>
    <w:rsid w:val="00962B3C"/>
    <w:rsid w:val="00975098"/>
    <w:rsid w:val="0099429B"/>
    <w:rsid w:val="00996ABA"/>
    <w:rsid w:val="009A2287"/>
    <w:rsid w:val="009A39E4"/>
    <w:rsid w:val="009C1F32"/>
    <w:rsid w:val="009D60F8"/>
    <w:rsid w:val="009F2B19"/>
    <w:rsid w:val="009F6548"/>
    <w:rsid w:val="00A077BD"/>
    <w:rsid w:val="00A137B9"/>
    <w:rsid w:val="00A178CC"/>
    <w:rsid w:val="00A31570"/>
    <w:rsid w:val="00A41524"/>
    <w:rsid w:val="00A558C0"/>
    <w:rsid w:val="00A770B3"/>
    <w:rsid w:val="00A817CA"/>
    <w:rsid w:val="00A91449"/>
    <w:rsid w:val="00A9611A"/>
    <w:rsid w:val="00AA36D8"/>
    <w:rsid w:val="00AB477B"/>
    <w:rsid w:val="00AB70F2"/>
    <w:rsid w:val="00AC194B"/>
    <w:rsid w:val="00AD2054"/>
    <w:rsid w:val="00AE2107"/>
    <w:rsid w:val="00AE2B51"/>
    <w:rsid w:val="00AE669D"/>
    <w:rsid w:val="00AE6E13"/>
    <w:rsid w:val="00AF2961"/>
    <w:rsid w:val="00AF4184"/>
    <w:rsid w:val="00B05406"/>
    <w:rsid w:val="00B25D9A"/>
    <w:rsid w:val="00B365DF"/>
    <w:rsid w:val="00B4640F"/>
    <w:rsid w:val="00B673B4"/>
    <w:rsid w:val="00B75AD3"/>
    <w:rsid w:val="00B77C5D"/>
    <w:rsid w:val="00B82696"/>
    <w:rsid w:val="00B869D3"/>
    <w:rsid w:val="00B93E95"/>
    <w:rsid w:val="00B95E68"/>
    <w:rsid w:val="00BA1075"/>
    <w:rsid w:val="00BB206F"/>
    <w:rsid w:val="00BB6210"/>
    <w:rsid w:val="00BC36F2"/>
    <w:rsid w:val="00BC53BC"/>
    <w:rsid w:val="00BD08A8"/>
    <w:rsid w:val="00C06CE6"/>
    <w:rsid w:val="00C11F8B"/>
    <w:rsid w:val="00C1494B"/>
    <w:rsid w:val="00C21727"/>
    <w:rsid w:val="00C31F05"/>
    <w:rsid w:val="00C323BA"/>
    <w:rsid w:val="00C332F3"/>
    <w:rsid w:val="00C34C2F"/>
    <w:rsid w:val="00C454DF"/>
    <w:rsid w:val="00C46DC4"/>
    <w:rsid w:val="00C61582"/>
    <w:rsid w:val="00C8179E"/>
    <w:rsid w:val="00C92981"/>
    <w:rsid w:val="00C97A06"/>
    <w:rsid w:val="00CA4BE8"/>
    <w:rsid w:val="00CD0B25"/>
    <w:rsid w:val="00CD2C8B"/>
    <w:rsid w:val="00D3615E"/>
    <w:rsid w:val="00D513EC"/>
    <w:rsid w:val="00D62354"/>
    <w:rsid w:val="00D65852"/>
    <w:rsid w:val="00D73FAD"/>
    <w:rsid w:val="00D807FB"/>
    <w:rsid w:val="00D85E23"/>
    <w:rsid w:val="00D87FD4"/>
    <w:rsid w:val="00D91BD7"/>
    <w:rsid w:val="00D94053"/>
    <w:rsid w:val="00DB249B"/>
    <w:rsid w:val="00DD5195"/>
    <w:rsid w:val="00DD5DB9"/>
    <w:rsid w:val="00DE2781"/>
    <w:rsid w:val="00DF33F6"/>
    <w:rsid w:val="00DF6BCB"/>
    <w:rsid w:val="00E1663A"/>
    <w:rsid w:val="00E21611"/>
    <w:rsid w:val="00E53F74"/>
    <w:rsid w:val="00E54D85"/>
    <w:rsid w:val="00E54FFD"/>
    <w:rsid w:val="00E56463"/>
    <w:rsid w:val="00E645E6"/>
    <w:rsid w:val="00E90A9B"/>
    <w:rsid w:val="00EA0953"/>
    <w:rsid w:val="00EB63F9"/>
    <w:rsid w:val="00EB65BD"/>
    <w:rsid w:val="00EC6B72"/>
    <w:rsid w:val="00F01176"/>
    <w:rsid w:val="00F0685C"/>
    <w:rsid w:val="00F12974"/>
    <w:rsid w:val="00F60D6F"/>
    <w:rsid w:val="00F75C01"/>
    <w:rsid w:val="00F8265E"/>
    <w:rsid w:val="00F83E90"/>
    <w:rsid w:val="00FB6C8E"/>
    <w:rsid w:val="00FC0B5C"/>
    <w:rsid w:val="00FC2E37"/>
    <w:rsid w:val="00FD0811"/>
    <w:rsid w:val="00FD50A5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E94D79"/>
  <w15:docId w15:val="{7594E165-ECF9-4166-83D3-C382122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70"/>
    <w:pPr>
      <w:ind w:left="720"/>
      <w:contextualSpacing/>
    </w:pPr>
  </w:style>
  <w:style w:type="character" w:styleId="CommentReference">
    <w:name w:val="annotation reference"/>
    <w:uiPriority w:val="99"/>
    <w:semiHidden/>
    <w:rsid w:val="00352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264D"/>
    <w:rPr>
      <w:rFonts w:ascii="Helvetica" w:eastAsia="Times New Roman" w:hAnsi="Helvetica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4D"/>
    <w:rPr>
      <w:rFonts w:ascii="Helvetica" w:eastAsia="Times New Roman" w:hAnsi="Helvetica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4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F71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F71"/>
    <w:rPr>
      <w:rFonts w:ascii="Helvetica" w:eastAsia="Times New Roman" w:hAnsi="Helvetica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F3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F6"/>
  </w:style>
  <w:style w:type="paragraph" w:styleId="Footer">
    <w:name w:val="footer"/>
    <w:basedOn w:val="Normal"/>
    <w:link w:val="FooterChar"/>
    <w:uiPriority w:val="99"/>
    <w:unhideWhenUsed/>
    <w:rsid w:val="00DF3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F6"/>
  </w:style>
  <w:style w:type="paragraph" w:customStyle="1" w:styleId="Default">
    <w:name w:val="Default"/>
    <w:rsid w:val="00D3615E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D3615E"/>
    <w:pPr>
      <w:spacing w:after="240"/>
      <w:jc w:val="both"/>
    </w:pPr>
    <w:rPr>
      <w:rFonts w:ascii="Times New Roman" w:eastAsia="Times New Roman" w:hAnsi="Times New Roman" w:cs="Times New Roman"/>
      <w:b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D3615E"/>
    <w:rPr>
      <w:rFonts w:ascii="Times New Roman" w:eastAsia="Times New Roman" w:hAnsi="Times New Roman" w:cs="Times New Roman"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A1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ii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D943-443F-E042-9BAF-CE142E39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Wesley</dc:creator>
  <cp:keywords/>
  <dc:description/>
  <cp:lastModifiedBy>Office 2</cp:lastModifiedBy>
  <cp:revision>2</cp:revision>
  <dcterms:created xsi:type="dcterms:W3CDTF">2022-01-14T13:36:00Z</dcterms:created>
  <dcterms:modified xsi:type="dcterms:W3CDTF">2022-01-14T13:36:00Z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ClarkR1@state.gov</vt:lpwstr>
  </property>
  <property fmtid="{D5CDD505-2E9C-101B-9397-08002B2CF9AE}" pid="5" name="MSIP_Label_1665d9ee-429a-4d5f-97cc-cfb56e044a6e_SetDate">
    <vt:lpwstr>2019-10-29T21:39:21.1152832Z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1ce04c66-9862-49ff-9590-c86e5e8c01a6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